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31F11" w:rsidRPr="008C3253" w:rsidTr="008C3253">
        <w:tc>
          <w:tcPr>
            <w:tcW w:w="4361" w:type="dxa"/>
          </w:tcPr>
          <w:p w:rsidR="00831F11" w:rsidRPr="008C3253" w:rsidRDefault="00201FE5" w:rsidP="00831F1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bookmarkStart w:id="0" w:name="_GoBack"/>
            <w:bookmarkEnd w:id="0"/>
            <w:r w:rsidRPr="008C3253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6589941" wp14:editId="1FFC4123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11" w:rsidRPr="008C3253" w:rsidTr="008C3253">
        <w:tc>
          <w:tcPr>
            <w:tcW w:w="4361" w:type="dxa"/>
          </w:tcPr>
          <w:p w:rsidR="00FE69B2" w:rsidRPr="008C3253" w:rsidRDefault="00FE69B2" w:rsidP="00831F11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</w:p>
          <w:p w:rsidR="00831F11" w:rsidRPr="008C3253" w:rsidRDefault="00201FE5" w:rsidP="00831F11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8C3253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728" behindDoc="0" locked="0" layoutInCell="1" allowOverlap="1" wp14:anchorId="00FF773F" wp14:editId="638E6E9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F11" w:rsidRPr="008C325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831F11" w:rsidRPr="008C3253" w:rsidTr="008C3253">
        <w:tc>
          <w:tcPr>
            <w:tcW w:w="4361" w:type="dxa"/>
          </w:tcPr>
          <w:p w:rsidR="00831F11" w:rsidRPr="008C3253" w:rsidRDefault="00831F11" w:rsidP="00831F1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C3253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831F11" w:rsidRPr="008C3253" w:rsidTr="008C3253">
        <w:tc>
          <w:tcPr>
            <w:tcW w:w="4361" w:type="dxa"/>
          </w:tcPr>
          <w:p w:rsidR="00831F11" w:rsidRPr="008C3253" w:rsidRDefault="00831F11" w:rsidP="00831F1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831F11" w:rsidRPr="008C3253" w:rsidTr="008C3253">
        <w:tc>
          <w:tcPr>
            <w:tcW w:w="4361" w:type="dxa"/>
          </w:tcPr>
          <w:p w:rsidR="00831F11" w:rsidRPr="008C3253" w:rsidRDefault="00831F11" w:rsidP="00831F1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C3253">
              <w:rPr>
                <w:i w:val="0"/>
                <w:sz w:val="24"/>
                <w:szCs w:val="24"/>
              </w:rPr>
              <w:t xml:space="preserve">UPRAVNI ODJEL ZA </w:t>
            </w:r>
            <w:r w:rsidR="00643CFD" w:rsidRPr="008C3253">
              <w:rPr>
                <w:i w:val="0"/>
                <w:sz w:val="24"/>
                <w:szCs w:val="24"/>
              </w:rPr>
              <w:t xml:space="preserve">PROSTORNO UREĐENJE, </w:t>
            </w:r>
            <w:r w:rsidRPr="008C3253">
              <w:rPr>
                <w:i w:val="0"/>
                <w:sz w:val="24"/>
                <w:szCs w:val="24"/>
              </w:rPr>
              <w:t xml:space="preserve">GRADITELJSTVO I </w:t>
            </w:r>
          </w:p>
          <w:p w:rsidR="00831F11" w:rsidRPr="008C3253" w:rsidRDefault="00831F11" w:rsidP="00831F11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C3253">
              <w:rPr>
                <w:i w:val="0"/>
                <w:sz w:val="24"/>
                <w:szCs w:val="24"/>
              </w:rPr>
              <w:t>ZAŠTITU OKOLIŠA</w:t>
            </w:r>
          </w:p>
        </w:tc>
      </w:tr>
    </w:tbl>
    <w:p w:rsidR="00831F11" w:rsidRPr="008C3253" w:rsidRDefault="00831F11" w:rsidP="00831F11">
      <w:pPr>
        <w:rPr>
          <w:rFonts w:ascii="Arial" w:hAnsi="Arial" w:cs="Arial"/>
          <w:iCs/>
        </w:rPr>
      </w:pPr>
    </w:p>
    <w:p w:rsidR="005F6EE3" w:rsidRPr="008C3253" w:rsidRDefault="005F6EE3" w:rsidP="005F6EE3">
      <w:pPr>
        <w:rPr>
          <w:rFonts w:ascii="Arial" w:hAnsi="Arial" w:cs="Arial"/>
          <w:iCs/>
        </w:rPr>
      </w:pPr>
      <w:r w:rsidRPr="008C3253">
        <w:rPr>
          <w:rFonts w:ascii="Arial" w:hAnsi="Arial" w:cs="Arial"/>
          <w:iCs/>
        </w:rPr>
        <w:t>KLASA:</w:t>
      </w:r>
      <w:r w:rsidRPr="008C3253">
        <w:rPr>
          <w:rFonts w:ascii="Arial" w:hAnsi="Arial" w:cs="Arial"/>
          <w:iCs/>
        </w:rPr>
        <w:tab/>
        <w:t>UP/I-361-03/13-1</w:t>
      </w:r>
      <w:r w:rsidR="00001039">
        <w:rPr>
          <w:rFonts w:ascii="Arial" w:hAnsi="Arial" w:cs="Arial"/>
          <w:iCs/>
        </w:rPr>
        <w:t>4</w:t>
      </w:r>
      <w:r w:rsidRPr="008C3253">
        <w:rPr>
          <w:rFonts w:ascii="Arial" w:hAnsi="Arial" w:cs="Arial"/>
          <w:iCs/>
        </w:rPr>
        <w:t>/</w:t>
      </w:r>
      <w:r w:rsidR="00FF2244">
        <w:rPr>
          <w:rFonts w:ascii="Arial" w:hAnsi="Arial" w:cs="Arial"/>
          <w:iCs/>
        </w:rPr>
        <w:t>227</w:t>
      </w:r>
    </w:p>
    <w:p w:rsidR="005F6EE3" w:rsidRPr="008C3253" w:rsidRDefault="005F6EE3" w:rsidP="005F6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URBROJ</w:t>
      </w:r>
      <w:r w:rsidRPr="008C3253">
        <w:rPr>
          <w:rFonts w:ascii="Arial" w:hAnsi="Arial" w:cs="Arial"/>
          <w:iCs/>
        </w:rPr>
        <w:t xml:space="preserve">: </w:t>
      </w:r>
      <w:r w:rsidRPr="008C3253">
        <w:rPr>
          <w:rFonts w:ascii="Arial" w:hAnsi="Arial" w:cs="Arial"/>
          <w:iCs/>
        </w:rPr>
        <w:tab/>
        <w:t>2170/1-03-01/</w:t>
      </w:r>
      <w:r w:rsidR="00FF2244">
        <w:rPr>
          <w:rFonts w:ascii="Arial" w:hAnsi="Arial" w:cs="Arial"/>
          <w:iCs/>
        </w:rPr>
        <w:t>13-21-4</w:t>
      </w:r>
    </w:p>
    <w:p w:rsidR="005F6EE3" w:rsidRPr="008C3253" w:rsidRDefault="005F6EE3" w:rsidP="005F6EE3">
      <w:pPr>
        <w:rPr>
          <w:rFonts w:ascii="Arial" w:hAnsi="Arial" w:cs="Arial"/>
          <w:iCs/>
        </w:rPr>
      </w:pPr>
      <w:r w:rsidRPr="008C3253">
        <w:rPr>
          <w:rFonts w:ascii="Arial" w:hAnsi="Arial" w:cs="Arial"/>
          <w:iCs/>
        </w:rPr>
        <w:t xml:space="preserve">Rijeka,  </w:t>
      </w:r>
      <w:r w:rsidRPr="008C3253">
        <w:rPr>
          <w:rFonts w:ascii="Arial" w:hAnsi="Arial" w:cs="Arial"/>
          <w:iCs/>
        </w:rPr>
        <w:tab/>
      </w:r>
      <w:r w:rsidR="00001039">
        <w:rPr>
          <w:rFonts w:ascii="Arial" w:hAnsi="Arial" w:cs="Arial"/>
          <w:iCs/>
        </w:rPr>
        <w:t>1</w:t>
      </w:r>
      <w:r w:rsidR="00FF2244">
        <w:rPr>
          <w:rFonts w:ascii="Arial" w:hAnsi="Arial" w:cs="Arial"/>
          <w:iCs/>
        </w:rPr>
        <w:t>6</w:t>
      </w:r>
      <w:r w:rsidRPr="008C3253">
        <w:rPr>
          <w:rFonts w:ascii="Arial" w:hAnsi="Arial" w:cs="Arial"/>
          <w:iCs/>
        </w:rPr>
        <w:t xml:space="preserve">. </w:t>
      </w:r>
      <w:r w:rsidR="00FF2244">
        <w:rPr>
          <w:rFonts w:ascii="Arial" w:hAnsi="Arial" w:cs="Arial"/>
          <w:iCs/>
        </w:rPr>
        <w:t>srpnja</w:t>
      </w:r>
      <w:r>
        <w:rPr>
          <w:rFonts w:ascii="Arial" w:hAnsi="Arial" w:cs="Arial"/>
          <w:iCs/>
        </w:rPr>
        <w:t xml:space="preserve"> </w:t>
      </w:r>
      <w:r w:rsidRPr="008C3253">
        <w:rPr>
          <w:rFonts w:ascii="Arial" w:hAnsi="Arial" w:cs="Arial"/>
          <w:iCs/>
        </w:rPr>
        <w:t>20</w:t>
      </w:r>
      <w:r w:rsidR="00001039">
        <w:rPr>
          <w:rFonts w:ascii="Arial" w:hAnsi="Arial" w:cs="Arial"/>
          <w:iCs/>
        </w:rPr>
        <w:t>2</w:t>
      </w:r>
      <w:r w:rsidR="00FF2244">
        <w:rPr>
          <w:rFonts w:ascii="Arial" w:hAnsi="Arial" w:cs="Arial"/>
          <w:iCs/>
        </w:rPr>
        <w:t>1</w:t>
      </w:r>
      <w:r w:rsidRPr="008C3253">
        <w:rPr>
          <w:rFonts w:ascii="Arial" w:hAnsi="Arial" w:cs="Arial"/>
          <w:iCs/>
        </w:rPr>
        <w:t xml:space="preserve">. </w:t>
      </w:r>
    </w:p>
    <w:p w:rsidR="005F6EE3" w:rsidRPr="008C3253" w:rsidRDefault="005F6EE3" w:rsidP="005F6EE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F6EE3" w:rsidRPr="003740C3" w:rsidRDefault="005F6EE3" w:rsidP="005F6EE3">
      <w:pPr>
        <w:ind w:firstLine="708"/>
        <w:jc w:val="both"/>
        <w:rPr>
          <w:rFonts w:ascii="Arial" w:hAnsi="Arial" w:cs="Arial"/>
          <w:iCs/>
          <w:spacing w:val="40"/>
        </w:rPr>
      </w:pPr>
      <w:r w:rsidRPr="008C3253">
        <w:rPr>
          <w:rFonts w:ascii="Arial" w:hAnsi="Arial" w:cs="Arial"/>
          <w:iCs/>
        </w:rPr>
        <w:t>Primorsko-goranska županija, Upravni odjel za prostorno uređenje, graditeljstvo i zaštitu okoliša, Odsjek za prostorno uređenje i graditeljstvo, na temelju članka 46., stavka 1. i 2. Zakona o općem upravnom postupku</w:t>
      </w:r>
      <w:r w:rsidRPr="008C3253">
        <w:rPr>
          <w:rFonts w:ascii="Arial" w:hAnsi="Arial" w:cs="Arial"/>
        </w:rPr>
        <w:t xml:space="preserve"> („Narodne novine“ br. 47/09), </w:t>
      </w:r>
      <w:r w:rsidRPr="008C3253">
        <w:rPr>
          <w:rFonts w:ascii="Arial" w:hAnsi="Arial" w:cs="Arial"/>
          <w:iCs/>
        </w:rPr>
        <w:t xml:space="preserve">povodom zahtjeva </w:t>
      </w:r>
      <w:r w:rsidR="00FF2244">
        <w:rPr>
          <w:rFonts w:ascii="Arial" w:hAnsi="Arial" w:cs="Arial"/>
          <w:iCs/>
        </w:rPr>
        <w:t>Obrč Ljudevita, Buzdohanj 168, Čavle</w:t>
      </w:r>
      <w:r w:rsidRPr="008C3253">
        <w:rPr>
          <w:rFonts w:ascii="Arial" w:hAnsi="Arial" w:cs="Arial"/>
          <w:bCs/>
          <w:iCs/>
        </w:rPr>
        <w:t xml:space="preserve"> (OIB: </w:t>
      </w:r>
      <w:r w:rsidR="00FF2244">
        <w:rPr>
          <w:rFonts w:ascii="Arial" w:hAnsi="Arial" w:cs="Arial"/>
        </w:rPr>
        <w:t>68593908571</w:t>
      </w:r>
      <w:r w:rsidRPr="008C3253">
        <w:rPr>
          <w:rFonts w:ascii="Arial" w:hAnsi="Arial" w:cs="Arial"/>
          <w:bCs/>
          <w:iCs/>
        </w:rPr>
        <w:t xml:space="preserve">), </w:t>
      </w:r>
      <w:r w:rsidRPr="008C3253">
        <w:rPr>
          <w:rFonts w:ascii="Arial" w:hAnsi="Arial" w:cs="Arial"/>
          <w:iCs/>
        </w:rPr>
        <w:t xml:space="preserve">kojim je zatraženo donošenje rješenja o izvedenom stanju, </w:t>
      </w:r>
      <w:r w:rsidRPr="003740C3">
        <w:rPr>
          <w:rFonts w:ascii="Arial" w:hAnsi="Arial" w:cs="Arial"/>
          <w:iCs/>
          <w:spacing w:val="40"/>
        </w:rPr>
        <w:t>donosi</w:t>
      </w:r>
    </w:p>
    <w:p w:rsidR="005F6EE3" w:rsidRPr="008C325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3740C3" w:rsidRDefault="005F6EE3" w:rsidP="005F6EE3">
      <w:pPr>
        <w:pStyle w:val="PlainText"/>
        <w:jc w:val="center"/>
        <w:rPr>
          <w:rFonts w:ascii="Arial" w:eastAsia="MS Mincho" w:hAnsi="Arial" w:cs="Arial"/>
          <w:b/>
          <w:bCs/>
          <w:spacing w:val="40"/>
          <w:sz w:val="24"/>
          <w:szCs w:val="24"/>
        </w:rPr>
      </w:pPr>
      <w:r w:rsidRPr="003740C3">
        <w:rPr>
          <w:rFonts w:ascii="Arial" w:eastAsia="MS Mincho" w:hAnsi="Arial" w:cs="Arial"/>
          <w:b/>
          <w:bCs/>
          <w:spacing w:val="40"/>
          <w:sz w:val="24"/>
          <w:szCs w:val="24"/>
        </w:rPr>
        <w:t>RJEŠENJE</w:t>
      </w:r>
    </w:p>
    <w:p w:rsidR="005F6EE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8C325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661D7A" w:rsidRDefault="005F6EE3" w:rsidP="005F6EE3">
      <w:pPr>
        <w:pStyle w:val="PlainText"/>
        <w:ind w:firstLine="708"/>
        <w:jc w:val="both"/>
        <w:rPr>
          <w:rFonts w:ascii="Arial" w:hAnsi="Arial" w:cs="Arial"/>
          <w:sz w:val="24"/>
          <w:szCs w:val="24"/>
        </w:rPr>
      </w:pPr>
      <w:r w:rsidRPr="003740C3">
        <w:rPr>
          <w:rFonts w:ascii="Arial" w:eastAsia="MS Mincho" w:hAnsi="Arial" w:cs="Arial"/>
          <w:spacing w:val="40"/>
          <w:sz w:val="24"/>
          <w:szCs w:val="24"/>
        </w:rPr>
        <w:t>Obustavlja se</w:t>
      </w:r>
      <w:r w:rsidRPr="008C3253">
        <w:rPr>
          <w:rFonts w:ascii="Arial" w:eastAsia="MS Mincho" w:hAnsi="Arial" w:cs="Arial"/>
          <w:sz w:val="24"/>
          <w:szCs w:val="24"/>
        </w:rPr>
        <w:t xml:space="preserve"> postupak donošenja rješenja o izvedenom stanju, pokrenut po </w:t>
      </w:r>
      <w:r w:rsidRPr="006E1855">
        <w:rPr>
          <w:rFonts w:ascii="Arial" w:eastAsia="MS Mincho" w:hAnsi="Arial" w:cs="Arial"/>
          <w:sz w:val="24"/>
          <w:szCs w:val="24"/>
        </w:rPr>
        <w:t xml:space="preserve">zahtjevu </w:t>
      </w:r>
      <w:r w:rsidR="00FF2244" w:rsidRPr="00FF2244">
        <w:rPr>
          <w:rFonts w:ascii="Arial" w:hAnsi="Arial" w:cs="Arial"/>
          <w:iCs/>
          <w:sz w:val="24"/>
          <w:szCs w:val="24"/>
        </w:rPr>
        <w:t>Obrč Ljudevita, Buzdohanj 168, Čavle</w:t>
      </w:r>
      <w:r w:rsidR="00FF2244" w:rsidRPr="00FF2244">
        <w:rPr>
          <w:rFonts w:ascii="Arial" w:hAnsi="Arial" w:cs="Arial"/>
          <w:bCs/>
          <w:iCs/>
          <w:sz w:val="24"/>
          <w:szCs w:val="24"/>
        </w:rPr>
        <w:t xml:space="preserve"> (OIB: </w:t>
      </w:r>
      <w:r w:rsidR="00FF2244" w:rsidRPr="00FF2244">
        <w:rPr>
          <w:rFonts w:ascii="Arial" w:hAnsi="Arial" w:cs="Arial"/>
          <w:sz w:val="24"/>
          <w:szCs w:val="24"/>
        </w:rPr>
        <w:t>68593908571</w:t>
      </w:r>
      <w:r w:rsidR="00FF2244" w:rsidRPr="00FF2244">
        <w:rPr>
          <w:rFonts w:ascii="Arial" w:hAnsi="Arial" w:cs="Arial"/>
          <w:bCs/>
          <w:iCs/>
          <w:sz w:val="24"/>
          <w:szCs w:val="24"/>
        </w:rPr>
        <w:t>)</w:t>
      </w:r>
      <w:r w:rsidRPr="00FF2244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koj</w:t>
      </w:r>
      <w:r w:rsidR="00FF2244">
        <w:rPr>
          <w:rFonts w:ascii="Arial" w:hAnsi="Arial" w:cs="Arial"/>
          <w:iCs/>
          <w:sz w:val="24"/>
          <w:szCs w:val="24"/>
        </w:rPr>
        <w:t>i</w:t>
      </w:r>
      <w:r w:rsidRPr="006E1855">
        <w:rPr>
          <w:rFonts w:ascii="Arial" w:hAnsi="Arial" w:cs="Arial"/>
          <w:iCs/>
          <w:sz w:val="24"/>
          <w:szCs w:val="24"/>
        </w:rPr>
        <w:t xml:space="preserve"> je </w:t>
      </w:r>
      <w:r w:rsidRPr="008C3253">
        <w:rPr>
          <w:rFonts w:ascii="Arial" w:hAnsi="Arial" w:cs="Arial"/>
          <w:iCs/>
          <w:sz w:val="24"/>
          <w:szCs w:val="24"/>
        </w:rPr>
        <w:t>zatraži</w:t>
      </w:r>
      <w:r w:rsidR="00001039">
        <w:rPr>
          <w:rFonts w:ascii="Arial" w:hAnsi="Arial" w:cs="Arial"/>
          <w:iCs/>
          <w:sz w:val="24"/>
          <w:szCs w:val="24"/>
        </w:rPr>
        <w:t>o</w:t>
      </w:r>
      <w:r w:rsidRPr="008C3253">
        <w:rPr>
          <w:rFonts w:ascii="Arial" w:hAnsi="Arial" w:cs="Arial"/>
          <w:iCs/>
          <w:sz w:val="24"/>
          <w:szCs w:val="24"/>
        </w:rPr>
        <w:t xml:space="preserve"> donošenje rješenja o izvedenom stanju za </w:t>
      </w:r>
      <w:r w:rsidR="00001039">
        <w:rPr>
          <w:rFonts w:ascii="Arial" w:hAnsi="Arial" w:cs="Arial"/>
          <w:iCs/>
          <w:sz w:val="24"/>
          <w:szCs w:val="24"/>
        </w:rPr>
        <w:t>jednostavnu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C3253">
        <w:rPr>
          <w:rFonts w:ascii="Arial" w:hAnsi="Arial" w:cs="Arial"/>
          <w:iCs/>
          <w:sz w:val="24"/>
          <w:szCs w:val="24"/>
        </w:rPr>
        <w:t>zgrad</w:t>
      </w:r>
      <w:r w:rsidR="00001039">
        <w:rPr>
          <w:rFonts w:ascii="Arial" w:hAnsi="Arial" w:cs="Arial"/>
          <w:iCs/>
          <w:sz w:val="24"/>
          <w:szCs w:val="24"/>
        </w:rPr>
        <w:t>u</w:t>
      </w:r>
      <w:r w:rsidRPr="008C3253">
        <w:rPr>
          <w:rFonts w:ascii="Arial" w:hAnsi="Arial" w:cs="Arial"/>
          <w:iCs/>
          <w:sz w:val="24"/>
          <w:szCs w:val="24"/>
        </w:rPr>
        <w:t xml:space="preserve"> izgrađen</w:t>
      </w:r>
      <w:r w:rsidR="00001039">
        <w:rPr>
          <w:rFonts w:ascii="Arial" w:hAnsi="Arial" w:cs="Arial"/>
          <w:iCs/>
          <w:sz w:val="24"/>
          <w:szCs w:val="24"/>
        </w:rPr>
        <w:t>u</w:t>
      </w:r>
      <w:r w:rsidRPr="008C3253">
        <w:rPr>
          <w:rFonts w:ascii="Arial" w:hAnsi="Arial" w:cs="Arial"/>
          <w:iCs/>
          <w:sz w:val="24"/>
          <w:szCs w:val="24"/>
        </w:rPr>
        <w:t xml:space="preserve"> </w:t>
      </w:r>
      <w:r w:rsidRPr="008C3253">
        <w:rPr>
          <w:rFonts w:ascii="Arial" w:eastAsia="MS Mincho" w:hAnsi="Arial" w:cs="Arial"/>
          <w:sz w:val="24"/>
          <w:szCs w:val="24"/>
        </w:rPr>
        <w:t xml:space="preserve">na </w:t>
      </w:r>
      <w:r w:rsidRPr="008C3253">
        <w:rPr>
          <w:rFonts w:ascii="Arial" w:hAnsi="Arial" w:cs="Arial"/>
          <w:sz w:val="24"/>
          <w:szCs w:val="24"/>
        </w:rPr>
        <w:t xml:space="preserve">k.č. </w:t>
      </w:r>
      <w:r w:rsidR="00FF2244">
        <w:rPr>
          <w:rFonts w:ascii="Arial" w:hAnsi="Arial" w:cs="Arial"/>
          <w:sz w:val="24"/>
          <w:szCs w:val="24"/>
        </w:rPr>
        <w:t>6843</w:t>
      </w:r>
      <w:r>
        <w:rPr>
          <w:rFonts w:ascii="Arial" w:hAnsi="Arial" w:cs="Arial"/>
          <w:sz w:val="24"/>
          <w:szCs w:val="24"/>
        </w:rPr>
        <w:t>,</w:t>
      </w:r>
      <w:r w:rsidRPr="008C3253">
        <w:rPr>
          <w:rFonts w:ascii="Arial" w:hAnsi="Arial" w:cs="Arial"/>
          <w:sz w:val="24"/>
          <w:szCs w:val="24"/>
        </w:rPr>
        <w:t xml:space="preserve"> k.o. </w:t>
      </w:r>
      <w:r w:rsidR="00FF2244">
        <w:rPr>
          <w:rFonts w:ascii="Arial" w:hAnsi="Arial" w:cs="Arial"/>
          <w:sz w:val="24"/>
          <w:szCs w:val="24"/>
        </w:rPr>
        <w:t>Cernik-Čavle</w:t>
      </w:r>
      <w:r>
        <w:rPr>
          <w:rFonts w:ascii="Arial" w:hAnsi="Arial" w:cs="Arial"/>
          <w:sz w:val="24"/>
          <w:szCs w:val="24"/>
        </w:rPr>
        <w:t xml:space="preserve">, </w:t>
      </w:r>
      <w:r w:rsidRPr="008C3253">
        <w:rPr>
          <w:rFonts w:ascii="Arial" w:hAnsi="Arial" w:cs="Arial"/>
          <w:iCs/>
          <w:sz w:val="24"/>
          <w:szCs w:val="24"/>
        </w:rPr>
        <w:t xml:space="preserve">prema </w:t>
      </w:r>
      <w:r w:rsidRPr="008C3253">
        <w:rPr>
          <w:rFonts w:ascii="Arial" w:hAnsi="Arial" w:cs="Arial"/>
          <w:sz w:val="24"/>
          <w:szCs w:val="24"/>
        </w:rPr>
        <w:t>Zakonu o postupanju s nezakonito izgrađenim zgradama („Narodne novine“ br</w:t>
      </w:r>
      <w:r>
        <w:rPr>
          <w:rFonts w:ascii="Arial" w:hAnsi="Arial" w:cs="Arial"/>
          <w:sz w:val="24"/>
          <w:szCs w:val="24"/>
        </w:rPr>
        <w:t>oj</w:t>
      </w:r>
      <w:r w:rsidRPr="008C3253">
        <w:rPr>
          <w:rFonts w:ascii="Arial" w:hAnsi="Arial" w:cs="Arial"/>
          <w:sz w:val="24"/>
          <w:szCs w:val="24"/>
        </w:rPr>
        <w:t xml:space="preserve"> 86/12, 143/13</w:t>
      </w:r>
      <w:r>
        <w:rPr>
          <w:rFonts w:ascii="Arial" w:hAnsi="Arial" w:cs="Arial"/>
          <w:sz w:val="24"/>
          <w:szCs w:val="24"/>
        </w:rPr>
        <w:t>,</w:t>
      </w:r>
      <w:r w:rsidRPr="008C3253">
        <w:rPr>
          <w:rFonts w:ascii="Arial" w:hAnsi="Arial" w:cs="Arial"/>
          <w:sz w:val="24"/>
          <w:szCs w:val="24"/>
        </w:rPr>
        <w:t xml:space="preserve"> 65/17</w:t>
      </w:r>
      <w:r>
        <w:rPr>
          <w:rFonts w:ascii="Arial" w:hAnsi="Arial" w:cs="Arial"/>
          <w:sz w:val="24"/>
          <w:szCs w:val="24"/>
        </w:rPr>
        <w:t xml:space="preserve"> i 14/19</w:t>
      </w:r>
      <w:r w:rsidRPr="008C3253">
        <w:rPr>
          <w:rFonts w:ascii="Arial" w:hAnsi="Arial" w:cs="Arial"/>
          <w:sz w:val="24"/>
          <w:szCs w:val="24"/>
        </w:rPr>
        <w:t xml:space="preserve">). </w:t>
      </w:r>
    </w:p>
    <w:p w:rsidR="005F6EE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001039" w:rsidRPr="008C3253" w:rsidRDefault="00001039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921A06" w:rsidRDefault="005F6EE3" w:rsidP="005F6EE3">
      <w:pPr>
        <w:pStyle w:val="PlainText"/>
        <w:jc w:val="center"/>
        <w:rPr>
          <w:rFonts w:ascii="Arial" w:eastAsia="MS Mincho" w:hAnsi="Arial" w:cs="Arial"/>
          <w:b/>
          <w:bCs/>
          <w:spacing w:val="40"/>
          <w:sz w:val="24"/>
          <w:szCs w:val="24"/>
        </w:rPr>
      </w:pPr>
      <w:r w:rsidRPr="00921A06">
        <w:rPr>
          <w:rFonts w:ascii="Arial" w:eastAsia="MS Mincho" w:hAnsi="Arial" w:cs="Arial"/>
          <w:b/>
          <w:bCs/>
          <w:spacing w:val="40"/>
          <w:sz w:val="24"/>
          <w:szCs w:val="24"/>
        </w:rPr>
        <w:t>Obrazloženje</w:t>
      </w:r>
    </w:p>
    <w:p w:rsidR="005F6EE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8C325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8C3253" w:rsidRDefault="00FF2244" w:rsidP="005F6EE3">
      <w:pPr>
        <w:pStyle w:val="PlainText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FF2244">
        <w:rPr>
          <w:rFonts w:ascii="Arial" w:hAnsi="Arial" w:cs="Arial"/>
          <w:iCs/>
          <w:sz w:val="24"/>
          <w:szCs w:val="24"/>
        </w:rPr>
        <w:t>Obrč L</w:t>
      </w:r>
      <w:r>
        <w:rPr>
          <w:rFonts w:ascii="Arial" w:hAnsi="Arial" w:cs="Arial"/>
          <w:iCs/>
          <w:sz w:val="24"/>
          <w:szCs w:val="24"/>
        </w:rPr>
        <w:t>judevit</w:t>
      </w:r>
      <w:r w:rsidRPr="00FF2244">
        <w:rPr>
          <w:rFonts w:ascii="Arial" w:hAnsi="Arial" w:cs="Arial"/>
          <w:iCs/>
          <w:sz w:val="24"/>
          <w:szCs w:val="24"/>
        </w:rPr>
        <w:t>, Buzdohanj 168, Čavle</w:t>
      </w:r>
      <w:r w:rsidRPr="00FF2244">
        <w:rPr>
          <w:rFonts w:ascii="Arial" w:hAnsi="Arial" w:cs="Arial"/>
          <w:bCs/>
          <w:iCs/>
          <w:sz w:val="24"/>
          <w:szCs w:val="24"/>
        </w:rPr>
        <w:t xml:space="preserve"> (OIB: </w:t>
      </w:r>
      <w:r w:rsidRPr="00FF2244">
        <w:rPr>
          <w:rFonts w:ascii="Arial" w:hAnsi="Arial" w:cs="Arial"/>
          <w:sz w:val="24"/>
          <w:szCs w:val="24"/>
        </w:rPr>
        <w:t>68593908571</w:t>
      </w:r>
      <w:r w:rsidRPr="00FF2244">
        <w:rPr>
          <w:rFonts w:ascii="Arial" w:hAnsi="Arial" w:cs="Arial"/>
          <w:bCs/>
          <w:iCs/>
          <w:sz w:val="24"/>
          <w:szCs w:val="24"/>
        </w:rPr>
        <w:t>)</w:t>
      </w:r>
      <w:r w:rsidR="005F6EE3">
        <w:rPr>
          <w:rFonts w:ascii="Arial" w:hAnsi="Arial" w:cs="Arial"/>
          <w:bCs/>
          <w:iCs/>
          <w:sz w:val="24"/>
          <w:szCs w:val="24"/>
        </w:rPr>
        <w:t>,</w:t>
      </w:r>
      <w:r w:rsidR="005F6EE3" w:rsidRPr="008C3253">
        <w:rPr>
          <w:rFonts w:ascii="Arial" w:eastAsia="MS Mincho" w:hAnsi="Arial" w:cs="Arial"/>
          <w:sz w:val="24"/>
          <w:szCs w:val="24"/>
        </w:rPr>
        <w:t xml:space="preserve"> dana </w:t>
      </w:r>
      <w:r>
        <w:rPr>
          <w:rFonts w:ascii="Arial" w:eastAsia="MS Mincho" w:hAnsi="Arial" w:cs="Arial"/>
          <w:sz w:val="24"/>
          <w:szCs w:val="24"/>
        </w:rPr>
        <w:t>11</w:t>
      </w:r>
      <w:r w:rsidR="005F6EE3" w:rsidRPr="008C3253">
        <w:rPr>
          <w:rFonts w:ascii="Arial" w:eastAsia="MS Mincho" w:hAnsi="Arial" w:cs="Arial"/>
          <w:sz w:val="24"/>
          <w:szCs w:val="24"/>
        </w:rPr>
        <w:t xml:space="preserve">. lipnja 2013. </w:t>
      </w:r>
      <w:r w:rsidR="005F6EE3">
        <w:rPr>
          <w:rFonts w:ascii="Arial" w:eastAsia="MS Mincho" w:hAnsi="Arial" w:cs="Arial"/>
          <w:sz w:val="24"/>
          <w:szCs w:val="24"/>
        </w:rPr>
        <w:t>godine podni</w:t>
      </w:r>
      <w:r>
        <w:rPr>
          <w:rFonts w:ascii="Arial" w:eastAsia="MS Mincho" w:hAnsi="Arial" w:cs="Arial"/>
          <w:sz w:val="24"/>
          <w:szCs w:val="24"/>
        </w:rPr>
        <w:t>o</w:t>
      </w:r>
      <w:r w:rsidR="005F6EE3" w:rsidRPr="008C3253">
        <w:rPr>
          <w:rFonts w:ascii="Arial" w:eastAsia="MS Mincho" w:hAnsi="Arial" w:cs="Arial"/>
          <w:sz w:val="24"/>
          <w:szCs w:val="24"/>
        </w:rPr>
        <w:t xml:space="preserve"> je zahtjev za donošenje rješenja o izvedenom stanju za </w:t>
      </w:r>
      <w:r w:rsidR="00001039">
        <w:rPr>
          <w:rFonts w:ascii="Arial" w:hAnsi="Arial" w:cs="Arial"/>
          <w:iCs/>
          <w:sz w:val="24"/>
          <w:szCs w:val="24"/>
        </w:rPr>
        <w:t>jednostavnu</w:t>
      </w:r>
      <w:r w:rsidR="005F6EE3">
        <w:rPr>
          <w:rFonts w:ascii="Arial" w:hAnsi="Arial" w:cs="Arial"/>
          <w:iCs/>
          <w:sz w:val="24"/>
          <w:szCs w:val="24"/>
        </w:rPr>
        <w:t xml:space="preserve"> građevin</w:t>
      </w:r>
      <w:r w:rsidR="00001039">
        <w:rPr>
          <w:rFonts w:ascii="Arial" w:hAnsi="Arial" w:cs="Arial"/>
          <w:iCs/>
          <w:sz w:val="24"/>
          <w:szCs w:val="24"/>
        </w:rPr>
        <w:t>u</w:t>
      </w:r>
      <w:r w:rsidR="005F6EE3" w:rsidRPr="008C3253">
        <w:rPr>
          <w:rFonts w:ascii="Arial" w:hAnsi="Arial" w:cs="Arial"/>
          <w:iCs/>
          <w:sz w:val="24"/>
          <w:szCs w:val="24"/>
        </w:rPr>
        <w:t xml:space="preserve"> izgrađen</w:t>
      </w:r>
      <w:r w:rsidR="00001039">
        <w:rPr>
          <w:rFonts w:ascii="Arial" w:hAnsi="Arial" w:cs="Arial"/>
          <w:iCs/>
          <w:sz w:val="24"/>
          <w:szCs w:val="24"/>
        </w:rPr>
        <w:t>u</w:t>
      </w:r>
      <w:r w:rsidR="005F6EE3" w:rsidRPr="008C3253">
        <w:rPr>
          <w:rFonts w:ascii="Arial" w:hAnsi="Arial" w:cs="Arial"/>
          <w:iCs/>
          <w:sz w:val="24"/>
          <w:szCs w:val="24"/>
        </w:rPr>
        <w:t xml:space="preserve"> </w:t>
      </w:r>
      <w:r w:rsidR="005F6EE3" w:rsidRPr="008C3253">
        <w:rPr>
          <w:rFonts w:ascii="Arial" w:eastAsia="MS Mincho" w:hAnsi="Arial" w:cs="Arial"/>
          <w:sz w:val="24"/>
          <w:szCs w:val="24"/>
        </w:rPr>
        <w:t xml:space="preserve">na </w:t>
      </w:r>
      <w:r w:rsidRPr="008C3253">
        <w:rPr>
          <w:rFonts w:ascii="Arial" w:hAnsi="Arial" w:cs="Arial"/>
          <w:sz w:val="24"/>
          <w:szCs w:val="24"/>
        </w:rPr>
        <w:t xml:space="preserve">k.č. </w:t>
      </w:r>
      <w:r>
        <w:rPr>
          <w:rFonts w:ascii="Arial" w:hAnsi="Arial" w:cs="Arial"/>
          <w:sz w:val="24"/>
          <w:szCs w:val="24"/>
        </w:rPr>
        <w:t>6843,</w:t>
      </w:r>
      <w:r w:rsidRPr="008C3253">
        <w:rPr>
          <w:rFonts w:ascii="Arial" w:hAnsi="Arial" w:cs="Arial"/>
          <w:sz w:val="24"/>
          <w:szCs w:val="24"/>
        </w:rPr>
        <w:t xml:space="preserve"> k.o. </w:t>
      </w:r>
      <w:r>
        <w:rPr>
          <w:rFonts w:ascii="Arial" w:hAnsi="Arial" w:cs="Arial"/>
          <w:sz w:val="24"/>
          <w:szCs w:val="24"/>
        </w:rPr>
        <w:t>Cernik-Čavle</w:t>
      </w:r>
      <w:r w:rsidR="005F6EE3">
        <w:rPr>
          <w:rFonts w:ascii="Arial" w:hAnsi="Arial" w:cs="Arial"/>
          <w:sz w:val="24"/>
          <w:szCs w:val="24"/>
        </w:rPr>
        <w:t>,</w:t>
      </w:r>
      <w:r w:rsidR="005F6EE3" w:rsidRPr="008C3253">
        <w:rPr>
          <w:rFonts w:ascii="Arial" w:hAnsi="Arial" w:cs="Arial"/>
          <w:sz w:val="24"/>
          <w:szCs w:val="24"/>
        </w:rPr>
        <w:t xml:space="preserve"> </w:t>
      </w:r>
      <w:r w:rsidR="005F6EE3" w:rsidRPr="008C3253">
        <w:rPr>
          <w:rFonts w:ascii="Arial" w:hAnsi="Arial" w:cs="Arial"/>
          <w:iCs/>
          <w:sz w:val="24"/>
          <w:szCs w:val="24"/>
        </w:rPr>
        <w:t xml:space="preserve">prema </w:t>
      </w:r>
      <w:r w:rsidR="005F6EE3" w:rsidRPr="008C3253">
        <w:rPr>
          <w:rFonts w:ascii="Arial" w:hAnsi="Arial" w:cs="Arial"/>
          <w:sz w:val="24"/>
          <w:szCs w:val="24"/>
        </w:rPr>
        <w:t>Zakonu o postupanju s nezakonito izgrađenim zgradama („Narodne novine“ br</w:t>
      </w:r>
      <w:r w:rsidR="005F6EE3">
        <w:rPr>
          <w:rFonts w:ascii="Arial" w:hAnsi="Arial" w:cs="Arial"/>
          <w:sz w:val="24"/>
          <w:szCs w:val="24"/>
        </w:rPr>
        <w:t>oj</w:t>
      </w:r>
      <w:r w:rsidR="005F6EE3" w:rsidRPr="008C3253">
        <w:rPr>
          <w:rFonts w:ascii="Arial" w:hAnsi="Arial" w:cs="Arial"/>
          <w:sz w:val="24"/>
          <w:szCs w:val="24"/>
        </w:rPr>
        <w:t xml:space="preserve"> 86/12, 143/13</w:t>
      </w:r>
      <w:r w:rsidR="005F6EE3">
        <w:rPr>
          <w:rFonts w:ascii="Arial" w:hAnsi="Arial" w:cs="Arial"/>
          <w:sz w:val="24"/>
          <w:szCs w:val="24"/>
        </w:rPr>
        <w:t>,</w:t>
      </w:r>
      <w:r w:rsidR="005F6EE3" w:rsidRPr="008C3253">
        <w:rPr>
          <w:rFonts w:ascii="Arial" w:hAnsi="Arial" w:cs="Arial"/>
          <w:sz w:val="24"/>
          <w:szCs w:val="24"/>
        </w:rPr>
        <w:t xml:space="preserve"> 65/17</w:t>
      </w:r>
      <w:r w:rsidR="005F6EE3">
        <w:rPr>
          <w:rFonts w:ascii="Arial" w:hAnsi="Arial" w:cs="Arial"/>
          <w:sz w:val="24"/>
          <w:szCs w:val="24"/>
        </w:rPr>
        <w:t xml:space="preserve"> i 14/19</w:t>
      </w:r>
      <w:r w:rsidR="005F6EE3" w:rsidRPr="008C3253">
        <w:rPr>
          <w:rFonts w:ascii="Arial" w:hAnsi="Arial" w:cs="Arial"/>
          <w:sz w:val="24"/>
          <w:szCs w:val="24"/>
        </w:rPr>
        <w:t>)</w:t>
      </w:r>
      <w:r w:rsidR="005F6EE3">
        <w:rPr>
          <w:rFonts w:ascii="Arial" w:hAnsi="Arial" w:cs="Arial"/>
          <w:sz w:val="24"/>
          <w:szCs w:val="24"/>
        </w:rPr>
        <w:t xml:space="preserve">. </w:t>
      </w:r>
    </w:p>
    <w:p w:rsidR="005F6EE3" w:rsidRPr="008C325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Default="00FF2244" w:rsidP="005F6EE3">
      <w:pPr>
        <w:pStyle w:val="PlainText"/>
        <w:ind w:firstLine="708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Podnositelju zahtjeva je19. kolovoza 2015. godine upućen zaključak s obzirom da nije dostavljena dokumentacija propisana člankom 13. Zakona, te se Obrč Ljudevit uputio dostaviti tri primjerka geodetskog snimka, odnosno kopije katastarskog plana, iskaz površina i obračunske veličine zgrade, fotodokumentaciju i iskaz podataka za obračun naknade za zadržavanje zgrade u prostoru. Zaključak je otpremljen osobnom dostavom</w:t>
      </w:r>
      <w:r w:rsidR="001E6F8A">
        <w:rPr>
          <w:rFonts w:ascii="Arial" w:eastAsia="MS Mincho" w:hAnsi="Arial" w:cs="Arial"/>
          <w:sz w:val="24"/>
          <w:szCs w:val="24"/>
        </w:rPr>
        <w:t>, međutim vraćen je neuručen, jer je podnositelj zahtjeva preminuo</w:t>
      </w:r>
      <w:r w:rsidR="005F6EE3" w:rsidRPr="008C3253">
        <w:rPr>
          <w:rFonts w:ascii="Arial" w:eastAsia="MS Mincho" w:hAnsi="Arial" w:cs="Arial"/>
          <w:sz w:val="24"/>
          <w:szCs w:val="24"/>
        </w:rPr>
        <w:t>.</w:t>
      </w:r>
      <w:r w:rsidR="001E6F8A">
        <w:rPr>
          <w:rFonts w:ascii="Arial" w:eastAsia="MS Mincho" w:hAnsi="Arial" w:cs="Arial"/>
          <w:sz w:val="24"/>
          <w:szCs w:val="24"/>
        </w:rPr>
        <w:t xml:space="preserve"> Stoga je zaključan oglašen na oglasnoj ploči ovog upravnog tijela od 01. rujna 2015. godine do 9. rujna 2015. godine.</w:t>
      </w:r>
      <w:r w:rsidR="005F6EE3">
        <w:rPr>
          <w:rFonts w:ascii="Arial" w:eastAsia="MS Mincho" w:hAnsi="Arial" w:cs="Arial"/>
          <w:sz w:val="24"/>
          <w:szCs w:val="24"/>
        </w:rPr>
        <w:t xml:space="preserve"> </w:t>
      </w:r>
    </w:p>
    <w:p w:rsidR="005F6EE3" w:rsidRPr="008C3253" w:rsidRDefault="005F6EE3" w:rsidP="005F6EE3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5F6EE3" w:rsidRPr="008C3253" w:rsidRDefault="005F6EE3" w:rsidP="005F6EE3">
      <w:pPr>
        <w:pStyle w:val="PlainText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8C3253">
        <w:rPr>
          <w:rFonts w:ascii="Arial" w:eastAsia="MS Mincho" w:hAnsi="Arial" w:cs="Arial"/>
          <w:sz w:val="24"/>
          <w:szCs w:val="24"/>
        </w:rPr>
        <w:t xml:space="preserve">Budući je člankom </w:t>
      </w:r>
      <w:r w:rsidR="001E6F8A">
        <w:rPr>
          <w:rFonts w:ascii="Arial" w:eastAsia="MS Mincho" w:hAnsi="Arial" w:cs="Arial"/>
          <w:sz w:val="24"/>
          <w:szCs w:val="24"/>
        </w:rPr>
        <w:t>39</w:t>
      </w:r>
      <w:r w:rsidRPr="008C3253">
        <w:rPr>
          <w:rFonts w:ascii="Arial" w:eastAsia="MS Mincho" w:hAnsi="Arial" w:cs="Arial"/>
          <w:sz w:val="24"/>
          <w:szCs w:val="24"/>
        </w:rPr>
        <w:t xml:space="preserve">., stavkom </w:t>
      </w:r>
      <w:r w:rsidR="001E6F8A">
        <w:rPr>
          <w:rFonts w:ascii="Arial" w:eastAsia="MS Mincho" w:hAnsi="Arial" w:cs="Arial"/>
          <w:sz w:val="24"/>
          <w:szCs w:val="24"/>
        </w:rPr>
        <w:t>1</w:t>
      </w:r>
      <w:r w:rsidRPr="008C3253">
        <w:rPr>
          <w:rFonts w:ascii="Arial" w:eastAsia="MS Mincho" w:hAnsi="Arial" w:cs="Arial"/>
          <w:sz w:val="24"/>
          <w:szCs w:val="24"/>
        </w:rPr>
        <w:t xml:space="preserve">. Zakona o općem upravnom postupku („Narodne novine“ broj 47/09) propisano da će se postupak obustaviti ukoliko </w:t>
      </w:r>
      <w:r w:rsidR="001E6F8A">
        <w:rPr>
          <w:rFonts w:ascii="Arial" w:eastAsia="MS Mincho" w:hAnsi="Arial" w:cs="Arial"/>
          <w:sz w:val="24"/>
          <w:szCs w:val="24"/>
        </w:rPr>
        <w:t>u tijeku postupka stranka umre</w:t>
      </w:r>
      <w:r w:rsidRPr="008C3253">
        <w:rPr>
          <w:rFonts w:ascii="Arial" w:eastAsia="MS Mincho" w:hAnsi="Arial" w:cs="Arial"/>
          <w:sz w:val="24"/>
          <w:szCs w:val="24"/>
        </w:rPr>
        <w:t>, valjalo je postupiti sukladno tome.</w:t>
      </w:r>
    </w:p>
    <w:p w:rsidR="005F6EE3" w:rsidRPr="008C3253" w:rsidRDefault="005F6EE3" w:rsidP="005F6EE3">
      <w:pPr>
        <w:pStyle w:val="PlainText"/>
        <w:jc w:val="center"/>
        <w:rPr>
          <w:rFonts w:ascii="Arial" w:eastAsia="MS Mincho" w:hAnsi="Arial" w:cs="Arial"/>
          <w:bCs/>
          <w:sz w:val="24"/>
          <w:szCs w:val="24"/>
        </w:rPr>
      </w:pPr>
    </w:p>
    <w:p w:rsidR="005F6EE3" w:rsidRPr="008C3253" w:rsidRDefault="005F6EE3" w:rsidP="005F6EE3">
      <w:pPr>
        <w:pStyle w:val="PlainText"/>
        <w:jc w:val="both"/>
        <w:rPr>
          <w:rFonts w:ascii="Arial" w:hAnsi="Arial" w:cs="Arial"/>
          <w:iCs/>
          <w:sz w:val="24"/>
          <w:szCs w:val="24"/>
        </w:rPr>
      </w:pPr>
      <w:r w:rsidRPr="008C3253">
        <w:rPr>
          <w:rFonts w:ascii="Arial" w:eastAsia="MS Mincho" w:hAnsi="Arial" w:cs="Arial"/>
          <w:sz w:val="24"/>
          <w:szCs w:val="24"/>
        </w:rPr>
        <w:lastRenderedPageBreak/>
        <w:tab/>
        <w:t xml:space="preserve">Upravna pristojba za izdavanje ovog rješenja plaćena je u upravnim biljezima RH u iznosu od 20,00 kn </w:t>
      </w:r>
      <w:r>
        <w:rPr>
          <w:rFonts w:ascii="Arial" w:eastAsia="MS Mincho" w:hAnsi="Arial" w:cs="Arial"/>
          <w:sz w:val="24"/>
          <w:szCs w:val="24"/>
        </w:rPr>
        <w:t>i</w:t>
      </w:r>
      <w:r w:rsidRPr="008C3253">
        <w:rPr>
          <w:rFonts w:ascii="Arial" w:eastAsia="MS Mincho" w:hAnsi="Arial" w:cs="Arial"/>
          <w:sz w:val="24"/>
          <w:szCs w:val="24"/>
        </w:rPr>
        <w:t xml:space="preserve"> 50,00 kn prema Tbr. 1. i 2. Zakona o upravnim pristojbama („Narodne novine“ broj 8/96, </w:t>
      </w:r>
      <w:r w:rsidRPr="008C3253">
        <w:rPr>
          <w:rFonts w:ascii="Arial" w:hAnsi="Arial" w:cs="Arial"/>
          <w:iCs/>
          <w:sz w:val="24"/>
          <w:szCs w:val="24"/>
        </w:rPr>
        <w:t xml:space="preserve">77/96, 95/97, 131/97, 68/98, 66/99, 145/99, 116/00, 163/03, 17/04, 110/04, 141/04, 150/05, 153/05, 129/06, 117/07, 25/08, 60/08, 69/10, </w:t>
      </w:r>
      <w:r w:rsidRPr="008C3253">
        <w:rPr>
          <w:rFonts w:ascii="Arial" w:hAnsi="Arial" w:cs="Arial"/>
          <w:sz w:val="24"/>
          <w:szCs w:val="24"/>
        </w:rPr>
        <w:t>126/11, 112/12, 19/13, 40/14, 69/14, 87/14 i 94/14).</w:t>
      </w:r>
    </w:p>
    <w:p w:rsidR="005F6EE3" w:rsidRPr="008C3253" w:rsidRDefault="005F6EE3" w:rsidP="005F6EE3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</w:p>
    <w:p w:rsidR="005F6EE3" w:rsidRPr="008C3253" w:rsidRDefault="005F6EE3" w:rsidP="00EC2355">
      <w:pPr>
        <w:pStyle w:val="PlainText"/>
        <w:spacing w:after="120"/>
        <w:rPr>
          <w:rFonts w:ascii="Arial" w:eastAsia="MS Mincho" w:hAnsi="Arial" w:cs="Arial"/>
          <w:b/>
          <w:bCs/>
          <w:sz w:val="24"/>
          <w:szCs w:val="24"/>
        </w:rPr>
      </w:pPr>
      <w:r w:rsidRPr="008C3253">
        <w:rPr>
          <w:rFonts w:ascii="Arial" w:eastAsia="MS Mincho" w:hAnsi="Arial" w:cs="Arial"/>
          <w:b/>
          <w:bCs/>
          <w:sz w:val="24"/>
          <w:szCs w:val="24"/>
        </w:rPr>
        <w:t>UPUTA O PRAVNOM LIJEKU:</w:t>
      </w:r>
    </w:p>
    <w:p w:rsidR="005F6EE3" w:rsidRPr="008C3253" w:rsidRDefault="005F6EE3" w:rsidP="005F6EE3">
      <w:pPr>
        <w:ind w:firstLine="708"/>
        <w:jc w:val="both"/>
        <w:rPr>
          <w:rFonts w:ascii="Arial" w:hAnsi="Arial" w:cs="Arial"/>
        </w:rPr>
      </w:pPr>
      <w:r w:rsidRPr="008C3253">
        <w:rPr>
          <w:rFonts w:ascii="Arial" w:hAnsi="Arial" w:cs="Arial"/>
        </w:rPr>
        <w:t xml:space="preserve">Protiv ovoga rješenja može se izjaviti žalba Ministarstvu </w:t>
      </w:r>
      <w:r w:rsidR="001E6F8A" w:rsidRPr="008C3253">
        <w:rPr>
          <w:rFonts w:ascii="Arial" w:hAnsi="Arial" w:cs="Arial"/>
        </w:rPr>
        <w:t>prostornoga uređenja</w:t>
      </w:r>
      <w:r w:rsidR="001E6F8A">
        <w:rPr>
          <w:rFonts w:ascii="Arial" w:hAnsi="Arial" w:cs="Arial"/>
        </w:rPr>
        <w:t>,</w:t>
      </w:r>
      <w:r w:rsidR="001E6F8A" w:rsidRPr="008C3253">
        <w:rPr>
          <w:rFonts w:ascii="Arial" w:hAnsi="Arial" w:cs="Arial"/>
        </w:rPr>
        <w:t xml:space="preserve"> </w:t>
      </w:r>
      <w:r w:rsidRPr="008C3253">
        <w:rPr>
          <w:rFonts w:ascii="Arial" w:hAnsi="Arial" w:cs="Arial"/>
        </w:rPr>
        <w:t>graditeljstva i</w:t>
      </w:r>
      <w:r w:rsidR="001E6F8A">
        <w:rPr>
          <w:rFonts w:ascii="Arial" w:hAnsi="Arial" w:cs="Arial"/>
        </w:rPr>
        <w:t xml:space="preserve"> državne imovine</w:t>
      </w:r>
      <w:r w:rsidRPr="008C3253">
        <w:rPr>
          <w:rFonts w:ascii="Arial" w:hAnsi="Arial" w:cs="Arial"/>
        </w:rPr>
        <w:t xml:space="preserve">, Zagreb, Ulica Republike Austrije 20, u roku od 15 dana od dana njegovog primitka. Žalba se predaje neposredno ili putem pošte preporučeno Primorsko-goranskoj županiji, Upravnom odjelu za prostorno uređenje, graditeljstvo i zaštitu okoliša, </w:t>
      </w:r>
      <w:r w:rsidR="00001039">
        <w:rPr>
          <w:rFonts w:ascii="Arial" w:hAnsi="Arial" w:cs="Arial"/>
        </w:rPr>
        <w:t>Riva 10</w:t>
      </w:r>
      <w:r w:rsidRPr="008C3253">
        <w:rPr>
          <w:rFonts w:ascii="Arial" w:hAnsi="Arial" w:cs="Arial"/>
        </w:rPr>
        <w:t xml:space="preserve">, Rijeka, a može se izjaviti i usmeno na zapisnik kod ovoga tijela, na </w:t>
      </w:r>
      <w:r w:rsidR="00001039">
        <w:rPr>
          <w:rFonts w:ascii="Arial" w:hAnsi="Arial" w:cs="Arial"/>
        </w:rPr>
        <w:t>istoj adresi</w:t>
      </w:r>
      <w:r w:rsidRPr="008C3253">
        <w:rPr>
          <w:rFonts w:ascii="Arial" w:hAnsi="Arial" w:cs="Arial"/>
        </w:rPr>
        <w:t>.</w:t>
      </w:r>
    </w:p>
    <w:p w:rsidR="005F6EE3" w:rsidRPr="008C3253" w:rsidRDefault="005F6EE3" w:rsidP="005F6EE3">
      <w:pPr>
        <w:ind w:firstLine="708"/>
        <w:jc w:val="both"/>
        <w:rPr>
          <w:rFonts w:ascii="Arial" w:hAnsi="Arial" w:cs="Arial"/>
        </w:rPr>
      </w:pPr>
    </w:p>
    <w:p w:rsidR="005F6EE3" w:rsidRPr="00AA1191" w:rsidRDefault="005F6EE3" w:rsidP="005F6EE3">
      <w:pPr>
        <w:pStyle w:val="PlainText"/>
        <w:ind w:firstLine="709"/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AA1191">
        <w:rPr>
          <w:rFonts w:ascii="Arial" w:eastAsia="MS Mincho" w:hAnsi="Arial" w:cs="Arial"/>
          <w:bCs/>
          <w:sz w:val="24"/>
          <w:szCs w:val="24"/>
        </w:rPr>
        <w:t>Upravna pristojba na žalbu plaća se prema Zakonu o upravnim pristojbama („Narodne novine“ broj 115/16) u iznosu od 35,00 kn, prema Tar. br. 3. Zakona o upravnim pristojbama („Narodne n</w:t>
      </w:r>
      <w:r w:rsidR="00001039">
        <w:rPr>
          <w:rFonts w:ascii="Arial" w:eastAsia="MS Mincho" w:hAnsi="Arial" w:cs="Arial"/>
          <w:bCs/>
          <w:sz w:val="24"/>
          <w:szCs w:val="24"/>
        </w:rPr>
        <w:t>ovine“ br. 8/17, 37/17, 129/17,</w:t>
      </w:r>
      <w:r w:rsidRPr="00AA1191">
        <w:rPr>
          <w:rFonts w:ascii="Arial" w:eastAsia="MS Mincho" w:hAnsi="Arial" w:cs="Arial"/>
          <w:bCs/>
          <w:sz w:val="24"/>
          <w:szCs w:val="24"/>
        </w:rPr>
        <w:t xml:space="preserve"> 18/19</w:t>
      </w:r>
      <w:r w:rsidR="00001039">
        <w:rPr>
          <w:rFonts w:ascii="Arial" w:eastAsia="MS Mincho" w:hAnsi="Arial" w:cs="Arial"/>
          <w:bCs/>
          <w:sz w:val="24"/>
          <w:szCs w:val="24"/>
        </w:rPr>
        <w:t>, 97/19 i 128/19</w:t>
      </w:r>
      <w:r w:rsidRPr="00AA1191">
        <w:rPr>
          <w:rFonts w:ascii="Arial" w:eastAsia="MS Mincho" w:hAnsi="Arial" w:cs="Arial"/>
          <w:bCs/>
          <w:sz w:val="24"/>
          <w:szCs w:val="24"/>
        </w:rPr>
        <w:t xml:space="preserve">). Stranka se može odreći prava na žalbu u pisanom obliku ili usmeno na zapisnik, od dana primitka prvostupanjskog rješenja do isteka roka za izjavljivanje žalbe. Stranka može odustati od žalbe sve do otpreme rješenja o žalbi.  </w:t>
      </w:r>
    </w:p>
    <w:p w:rsidR="005F6EE3" w:rsidRPr="008C3253" w:rsidRDefault="005F6EE3" w:rsidP="005F6EE3">
      <w:pPr>
        <w:pStyle w:val="PlainText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1E6F8A" w:rsidRDefault="001E6F8A" w:rsidP="00EC2355">
      <w:pPr>
        <w:pStyle w:val="PlainText"/>
        <w:spacing w:line="276" w:lineRule="auto"/>
        <w:ind w:left="2410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EC2355" w:rsidRPr="00EC2355" w:rsidRDefault="00EC2355" w:rsidP="00EC2355">
      <w:pPr>
        <w:pStyle w:val="PlainText"/>
        <w:spacing w:line="276" w:lineRule="auto"/>
        <w:ind w:left="2410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EC2355">
        <w:rPr>
          <w:rFonts w:ascii="Arial" w:eastAsia="MS Mincho" w:hAnsi="Arial" w:cs="Arial"/>
          <w:b/>
          <w:bCs/>
          <w:sz w:val="24"/>
          <w:szCs w:val="24"/>
        </w:rPr>
        <w:t>Pročelnica</w:t>
      </w:r>
    </w:p>
    <w:p w:rsidR="00EC2355" w:rsidRPr="00EC2355" w:rsidRDefault="00EC2355" w:rsidP="001E6F8A">
      <w:pPr>
        <w:pStyle w:val="PlainText"/>
        <w:spacing w:line="276" w:lineRule="auto"/>
        <w:rPr>
          <w:rFonts w:ascii="Arial" w:eastAsia="MS Mincho" w:hAnsi="Arial" w:cs="Arial"/>
          <w:b/>
          <w:bCs/>
          <w:sz w:val="24"/>
          <w:szCs w:val="24"/>
        </w:rPr>
      </w:pPr>
    </w:p>
    <w:p w:rsidR="00EC2355" w:rsidRPr="00EC2355" w:rsidRDefault="00EC2355" w:rsidP="00EC2355">
      <w:pPr>
        <w:pStyle w:val="PlainText"/>
        <w:spacing w:line="276" w:lineRule="auto"/>
        <w:ind w:left="2410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EC2355">
        <w:rPr>
          <w:rFonts w:ascii="Arial" w:eastAsia="MS Mincho" w:hAnsi="Arial" w:cs="Arial"/>
          <w:b/>
          <w:bCs/>
          <w:sz w:val="24"/>
          <w:szCs w:val="24"/>
        </w:rPr>
        <w:t>izv. prof. dr. sc. Koraljka Vahtar - Jurković, dipl. ing. građ.</w:t>
      </w:r>
    </w:p>
    <w:p w:rsidR="005F6EE3" w:rsidRPr="00EC2355" w:rsidRDefault="005F6EE3" w:rsidP="00EC2355">
      <w:pPr>
        <w:pStyle w:val="PlainText"/>
        <w:ind w:left="241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F6EE3" w:rsidRDefault="005F6EE3" w:rsidP="005F6EE3">
      <w:pPr>
        <w:pStyle w:val="PlainText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F6EE3" w:rsidRDefault="005F6EE3" w:rsidP="005F6EE3">
      <w:pPr>
        <w:pStyle w:val="PlainText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EC2355" w:rsidRDefault="00EC2355" w:rsidP="005F6EE3">
      <w:pPr>
        <w:pStyle w:val="PlainText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EC2355" w:rsidRPr="008C3253" w:rsidRDefault="00EC2355" w:rsidP="005F6EE3">
      <w:pPr>
        <w:pStyle w:val="PlainText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F6EE3" w:rsidRPr="008C3253" w:rsidRDefault="005F6EE3" w:rsidP="005F6EE3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  <w:r w:rsidRPr="008C3253">
        <w:rPr>
          <w:rFonts w:ascii="Arial" w:eastAsia="MS Mincho" w:hAnsi="Arial" w:cs="Arial"/>
          <w:b/>
          <w:bCs/>
          <w:sz w:val="24"/>
          <w:szCs w:val="24"/>
        </w:rPr>
        <w:t>DOSTAVITI:</w:t>
      </w:r>
    </w:p>
    <w:p w:rsidR="005F6EE3" w:rsidRPr="008C3253" w:rsidRDefault="005F6EE3" w:rsidP="005F6EE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E6F8A" w:rsidRPr="001E6F8A" w:rsidRDefault="001E6F8A" w:rsidP="00EC2355">
      <w:pPr>
        <w:pStyle w:val="PlainText"/>
        <w:numPr>
          <w:ilvl w:val="0"/>
          <w:numId w:val="2"/>
        </w:numPr>
        <w:tabs>
          <w:tab w:val="clear" w:pos="720"/>
          <w:tab w:val="num" w:pos="180"/>
        </w:tabs>
        <w:ind w:left="360" w:right="3685"/>
        <w:jc w:val="both"/>
        <w:rPr>
          <w:rFonts w:ascii="Arial" w:eastAsia="MS Mincho" w:hAnsi="Arial" w:cs="Arial"/>
          <w:sz w:val="24"/>
          <w:szCs w:val="24"/>
        </w:rPr>
      </w:pPr>
      <w:r w:rsidRPr="00FF2244">
        <w:rPr>
          <w:rFonts w:ascii="Arial" w:hAnsi="Arial" w:cs="Arial"/>
          <w:iCs/>
          <w:sz w:val="24"/>
          <w:szCs w:val="24"/>
        </w:rPr>
        <w:t>Obrč L</w:t>
      </w:r>
      <w:r>
        <w:rPr>
          <w:rFonts w:ascii="Arial" w:hAnsi="Arial" w:cs="Arial"/>
          <w:iCs/>
          <w:sz w:val="24"/>
          <w:szCs w:val="24"/>
        </w:rPr>
        <w:t>judevit</w:t>
      </w:r>
      <w:r w:rsidRPr="00FF2244">
        <w:rPr>
          <w:rFonts w:ascii="Arial" w:hAnsi="Arial" w:cs="Arial"/>
          <w:iCs/>
          <w:sz w:val="24"/>
          <w:szCs w:val="24"/>
        </w:rPr>
        <w:t>, Buzdohanj 168, Čavle</w:t>
      </w:r>
      <w:r>
        <w:rPr>
          <w:rFonts w:ascii="Arial" w:hAnsi="Arial" w:cs="Arial"/>
          <w:iCs/>
          <w:sz w:val="24"/>
          <w:szCs w:val="24"/>
        </w:rPr>
        <w:t>, objavom na oglasnoj ploči ovog upravnog tijela (8 dana),</w:t>
      </w:r>
    </w:p>
    <w:p w:rsidR="00EC2355" w:rsidRPr="00EC2355" w:rsidRDefault="001E6F8A" w:rsidP="00EC2355">
      <w:pPr>
        <w:pStyle w:val="PlainText"/>
        <w:numPr>
          <w:ilvl w:val="0"/>
          <w:numId w:val="2"/>
        </w:numPr>
        <w:tabs>
          <w:tab w:val="clear" w:pos="720"/>
          <w:tab w:val="num" w:pos="180"/>
        </w:tabs>
        <w:ind w:left="360" w:right="3685"/>
        <w:jc w:val="both"/>
        <w:rPr>
          <w:rFonts w:ascii="Arial" w:eastAsia="MS Mincho" w:hAnsi="Arial" w:cs="Arial"/>
          <w:sz w:val="24"/>
          <w:szCs w:val="24"/>
        </w:rPr>
      </w:pPr>
      <w:r w:rsidRPr="00FF2244">
        <w:rPr>
          <w:rFonts w:ascii="Arial" w:hAnsi="Arial" w:cs="Arial"/>
          <w:iCs/>
          <w:sz w:val="24"/>
          <w:szCs w:val="24"/>
        </w:rPr>
        <w:t>Obrč L</w:t>
      </w:r>
      <w:r>
        <w:rPr>
          <w:rFonts w:ascii="Arial" w:hAnsi="Arial" w:cs="Arial"/>
          <w:iCs/>
          <w:sz w:val="24"/>
          <w:szCs w:val="24"/>
        </w:rPr>
        <w:t>judevit</w:t>
      </w:r>
      <w:r w:rsidRPr="00FF2244">
        <w:rPr>
          <w:rFonts w:ascii="Arial" w:hAnsi="Arial" w:cs="Arial"/>
          <w:iCs/>
          <w:sz w:val="24"/>
          <w:szCs w:val="24"/>
        </w:rPr>
        <w:t>, Buzdohanj 168, Čavle</w:t>
      </w:r>
      <w:r>
        <w:rPr>
          <w:rFonts w:ascii="Arial" w:hAnsi="Arial" w:cs="Arial"/>
          <w:iCs/>
          <w:sz w:val="24"/>
          <w:szCs w:val="24"/>
        </w:rPr>
        <w:t>, javnom objavom na mrežnim stranicama upravnog tijela,</w:t>
      </w:r>
      <w:r w:rsidR="00EC2355" w:rsidRPr="00EC235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F6EE3" w:rsidRPr="008C3253" w:rsidRDefault="005F6EE3" w:rsidP="00EC2355">
      <w:pPr>
        <w:pStyle w:val="PlainText"/>
        <w:numPr>
          <w:ilvl w:val="0"/>
          <w:numId w:val="2"/>
        </w:numPr>
        <w:tabs>
          <w:tab w:val="clear" w:pos="720"/>
          <w:tab w:val="num" w:pos="180"/>
        </w:tabs>
        <w:ind w:left="360" w:right="3685"/>
        <w:jc w:val="both"/>
        <w:rPr>
          <w:rFonts w:ascii="Arial" w:eastAsia="MS Mincho" w:hAnsi="Arial" w:cs="Arial"/>
          <w:sz w:val="24"/>
          <w:szCs w:val="24"/>
        </w:rPr>
      </w:pPr>
      <w:r w:rsidRPr="008C3253">
        <w:rPr>
          <w:rFonts w:ascii="Arial" w:eastAsia="MS Mincho" w:hAnsi="Arial" w:cs="Arial"/>
          <w:sz w:val="24"/>
          <w:szCs w:val="24"/>
        </w:rPr>
        <w:t>U spis, ovdje.-</w:t>
      </w:r>
    </w:p>
    <w:p w:rsidR="00BE2919" w:rsidRPr="008C3253" w:rsidRDefault="00BE2919" w:rsidP="005F6EE3">
      <w:pPr>
        <w:rPr>
          <w:rFonts w:ascii="Arial" w:eastAsia="MS Mincho" w:hAnsi="Arial" w:cs="Arial"/>
        </w:rPr>
      </w:pPr>
    </w:p>
    <w:sectPr w:rsidR="00BE2919" w:rsidRPr="008C3253" w:rsidSect="00201FE5">
      <w:headerReference w:type="default" r:id="rId10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87" w:rsidRDefault="00614787" w:rsidP="00201FE5">
      <w:r>
        <w:separator/>
      </w:r>
    </w:p>
  </w:endnote>
  <w:endnote w:type="continuationSeparator" w:id="0">
    <w:p w:rsidR="00614787" w:rsidRDefault="00614787" w:rsidP="0020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87" w:rsidRDefault="00614787" w:rsidP="00201FE5">
      <w:r>
        <w:separator/>
      </w:r>
    </w:p>
  </w:footnote>
  <w:footnote w:type="continuationSeparator" w:id="0">
    <w:p w:rsidR="00614787" w:rsidRDefault="00614787" w:rsidP="0020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E5" w:rsidRPr="00201FE5" w:rsidRDefault="00201FE5">
    <w:pPr>
      <w:pStyle w:val="Header"/>
      <w:jc w:val="center"/>
      <w:rPr>
        <w:i w:val="0"/>
        <w:sz w:val="24"/>
        <w:szCs w:val="24"/>
      </w:rPr>
    </w:pPr>
    <w:r w:rsidRPr="00201FE5">
      <w:rPr>
        <w:i w:val="0"/>
        <w:sz w:val="24"/>
        <w:szCs w:val="24"/>
      </w:rPr>
      <w:t xml:space="preserve">- </w:t>
    </w:r>
    <w:r w:rsidRPr="00201FE5">
      <w:rPr>
        <w:i w:val="0"/>
        <w:sz w:val="24"/>
        <w:szCs w:val="24"/>
      </w:rPr>
      <w:fldChar w:fldCharType="begin"/>
    </w:r>
    <w:r w:rsidRPr="00201FE5">
      <w:rPr>
        <w:i w:val="0"/>
        <w:sz w:val="24"/>
        <w:szCs w:val="24"/>
      </w:rPr>
      <w:instrText>PAGE    \* MERGEFORMAT</w:instrText>
    </w:r>
    <w:r w:rsidRPr="00201FE5">
      <w:rPr>
        <w:i w:val="0"/>
        <w:sz w:val="24"/>
        <w:szCs w:val="24"/>
      </w:rPr>
      <w:fldChar w:fldCharType="separate"/>
    </w:r>
    <w:r w:rsidR="008B4773">
      <w:rPr>
        <w:i w:val="0"/>
        <w:noProof/>
        <w:sz w:val="24"/>
        <w:szCs w:val="24"/>
      </w:rPr>
      <w:t>2</w:t>
    </w:r>
    <w:r w:rsidRPr="00201FE5">
      <w:rPr>
        <w:i w:val="0"/>
        <w:sz w:val="24"/>
        <w:szCs w:val="24"/>
      </w:rPr>
      <w:fldChar w:fldCharType="end"/>
    </w:r>
    <w:r w:rsidRPr="00201FE5">
      <w:rPr>
        <w:i w:val="0"/>
        <w:sz w:val="24"/>
        <w:szCs w:val="24"/>
      </w:rPr>
      <w:t xml:space="preserve"> -</w:t>
    </w:r>
  </w:p>
  <w:p w:rsidR="00201FE5" w:rsidRDefault="0020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3F2"/>
    <w:multiLevelType w:val="multilevel"/>
    <w:tmpl w:val="50D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41AF8"/>
    <w:multiLevelType w:val="hybridMultilevel"/>
    <w:tmpl w:val="96A82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13295"/>
    <w:multiLevelType w:val="hybridMultilevel"/>
    <w:tmpl w:val="5F7EBAE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574547"/>
    <w:multiLevelType w:val="hybridMultilevel"/>
    <w:tmpl w:val="CE704B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1"/>
    <w:rsid w:val="00001039"/>
    <w:rsid w:val="00017DBF"/>
    <w:rsid w:val="00056E44"/>
    <w:rsid w:val="00056F5E"/>
    <w:rsid w:val="000601AF"/>
    <w:rsid w:val="00064A61"/>
    <w:rsid w:val="000742DF"/>
    <w:rsid w:val="00082C94"/>
    <w:rsid w:val="000A140E"/>
    <w:rsid w:val="000D2664"/>
    <w:rsid w:val="000F019B"/>
    <w:rsid w:val="000F51AF"/>
    <w:rsid w:val="001819AF"/>
    <w:rsid w:val="001A1B9B"/>
    <w:rsid w:val="001D1231"/>
    <w:rsid w:val="001E6F8A"/>
    <w:rsid w:val="001F4C25"/>
    <w:rsid w:val="00201FE5"/>
    <w:rsid w:val="00212C4D"/>
    <w:rsid w:val="0023098F"/>
    <w:rsid w:val="002431A3"/>
    <w:rsid w:val="0024627C"/>
    <w:rsid w:val="00260BDE"/>
    <w:rsid w:val="00287EFA"/>
    <w:rsid w:val="002975DF"/>
    <w:rsid w:val="002B20E0"/>
    <w:rsid w:val="002C242F"/>
    <w:rsid w:val="002E244C"/>
    <w:rsid w:val="002E6CCE"/>
    <w:rsid w:val="002F0C9A"/>
    <w:rsid w:val="002F3B32"/>
    <w:rsid w:val="00304717"/>
    <w:rsid w:val="00332810"/>
    <w:rsid w:val="00332B60"/>
    <w:rsid w:val="00340863"/>
    <w:rsid w:val="00353DF1"/>
    <w:rsid w:val="003740C3"/>
    <w:rsid w:val="003865CB"/>
    <w:rsid w:val="00390122"/>
    <w:rsid w:val="003A3A97"/>
    <w:rsid w:val="003B5BFC"/>
    <w:rsid w:val="003F1512"/>
    <w:rsid w:val="003F3ECB"/>
    <w:rsid w:val="00407378"/>
    <w:rsid w:val="004137D6"/>
    <w:rsid w:val="00415BA4"/>
    <w:rsid w:val="00451EE8"/>
    <w:rsid w:val="0045495B"/>
    <w:rsid w:val="00467483"/>
    <w:rsid w:val="00492D66"/>
    <w:rsid w:val="004A48DF"/>
    <w:rsid w:val="004B2342"/>
    <w:rsid w:val="004C3C51"/>
    <w:rsid w:val="004E300D"/>
    <w:rsid w:val="004F1537"/>
    <w:rsid w:val="004F6641"/>
    <w:rsid w:val="004F7629"/>
    <w:rsid w:val="004F7D37"/>
    <w:rsid w:val="00517727"/>
    <w:rsid w:val="005213DA"/>
    <w:rsid w:val="00532E2D"/>
    <w:rsid w:val="00557D53"/>
    <w:rsid w:val="00572459"/>
    <w:rsid w:val="00585FEF"/>
    <w:rsid w:val="0059037F"/>
    <w:rsid w:val="00595A5E"/>
    <w:rsid w:val="005B304E"/>
    <w:rsid w:val="005E6362"/>
    <w:rsid w:val="005F6EE3"/>
    <w:rsid w:val="00610A09"/>
    <w:rsid w:val="00614787"/>
    <w:rsid w:val="00624D64"/>
    <w:rsid w:val="00626E3E"/>
    <w:rsid w:val="00630831"/>
    <w:rsid w:val="00643CFD"/>
    <w:rsid w:val="00654B90"/>
    <w:rsid w:val="00654E23"/>
    <w:rsid w:val="00661D7A"/>
    <w:rsid w:val="00663DEE"/>
    <w:rsid w:val="006765CF"/>
    <w:rsid w:val="006B4B1D"/>
    <w:rsid w:val="006C4065"/>
    <w:rsid w:val="006D196D"/>
    <w:rsid w:val="006E1855"/>
    <w:rsid w:val="006E6BB9"/>
    <w:rsid w:val="0073276E"/>
    <w:rsid w:val="00733A23"/>
    <w:rsid w:val="00746581"/>
    <w:rsid w:val="00756EF5"/>
    <w:rsid w:val="00764323"/>
    <w:rsid w:val="00773F4C"/>
    <w:rsid w:val="007876CA"/>
    <w:rsid w:val="007965DA"/>
    <w:rsid w:val="007C3075"/>
    <w:rsid w:val="007E4D78"/>
    <w:rsid w:val="007F5256"/>
    <w:rsid w:val="00817352"/>
    <w:rsid w:val="00831F11"/>
    <w:rsid w:val="00837C00"/>
    <w:rsid w:val="008557FF"/>
    <w:rsid w:val="00855A40"/>
    <w:rsid w:val="00857C70"/>
    <w:rsid w:val="00863699"/>
    <w:rsid w:val="00867155"/>
    <w:rsid w:val="008B4773"/>
    <w:rsid w:val="008C3253"/>
    <w:rsid w:val="009024FE"/>
    <w:rsid w:val="0090497F"/>
    <w:rsid w:val="00906177"/>
    <w:rsid w:val="009131FC"/>
    <w:rsid w:val="00921A06"/>
    <w:rsid w:val="00946170"/>
    <w:rsid w:val="009B0D02"/>
    <w:rsid w:val="009B6FE8"/>
    <w:rsid w:val="009D5640"/>
    <w:rsid w:val="009D5EAF"/>
    <w:rsid w:val="009E14C4"/>
    <w:rsid w:val="00A20F10"/>
    <w:rsid w:val="00A741EF"/>
    <w:rsid w:val="00A912AB"/>
    <w:rsid w:val="00A91355"/>
    <w:rsid w:val="00A919D4"/>
    <w:rsid w:val="00AA1191"/>
    <w:rsid w:val="00AA2915"/>
    <w:rsid w:val="00AB28B5"/>
    <w:rsid w:val="00AB749F"/>
    <w:rsid w:val="00AD0D06"/>
    <w:rsid w:val="00AE18DA"/>
    <w:rsid w:val="00AE3510"/>
    <w:rsid w:val="00B303FE"/>
    <w:rsid w:val="00B414A3"/>
    <w:rsid w:val="00B64C71"/>
    <w:rsid w:val="00B9744E"/>
    <w:rsid w:val="00BA4D48"/>
    <w:rsid w:val="00BB26E5"/>
    <w:rsid w:val="00BB2AE1"/>
    <w:rsid w:val="00BC456B"/>
    <w:rsid w:val="00BC6676"/>
    <w:rsid w:val="00BD6EB1"/>
    <w:rsid w:val="00BE1338"/>
    <w:rsid w:val="00BE2919"/>
    <w:rsid w:val="00BE7830"/>
    <w:rsid w:val="00BF749B"/>
    <w:rsid w:val="00C03B82"/>
    <w:rsid w:val="00C163FB"/>
    <w:rsid w:val="00C236F5"/>
    <w:rsid w:val="00C330E5"/>
    <w:rsid w:val="00C442A1"/>
    <w:rsid w:val="00C65298"/>
    <w:rsid w:val="00C73F1E"/>
    <w:rsid w:val="00C742C9"/>
    <w:rsid w:val="00C75D17"/>
    <w:rsid w:val="00C94356"/>
    <w:rsid w:val="00CB34B1"/>
    <w:rsid w:val="00CB5795"/>
    <w:rsid w:val="00CD7EB3"/>
    <w:rsid w:val="00D0145B"/>
    <w:rsid w:val="00D308B7"/>
    <w:rsid w:val="00D75BFF"/>
    <w:rsid w:val="00D907CA"/>
    <w:rsid w:val="00D97BBB"/>
    <w:rsid w:val="00DC5A2F"/>
    <w:rsid w:val="00DD0D97"/>
    <w:rsid w:val="00DD1D86"/>
    <w:rsid w:val="00DD5EB6"/>
    <w:rsid w:val="00DD71B4"/>
    <w:rsid w:val="00DF230E"/>
    <w:rsid w:val="00DF7D62"/>
    <w:rsid w:val="00E3634B"/>
    <w:rsid w:val="00E36451"/>
    <w:rsid w:val="00E450E5"/>
    <w:rsid w:val="00E644B6"/>
    <w:rsid w:val="00E730EC"/>
    <w:rsid w:val="00E83107"/>
    <w:rsid w:val="00E90089"/>
    <w:rsid w:val="00EA4A1C"/>
    <w:rsid w:val="00EB22D2"/>
    <w:rsid w:val="00EC2355"/>
    <w:rsid w:val="00EC38C6"/>
    <w:rsid w:val="00EE0AA4"/>
    <w:rsid w:val="00EE268A"/>
    <w:rsid w:val="00F0468D"/>
    <w:rsid w:val="00F15FAE"/>
    <w:rsid w:val="00F23FC4"/>
    <w:rsid w:val="00F45E2C"/>
    <w:rsid w:val="00F52F26"/>
    <w:rsid w:val="00F6139F"/>
    <w:rsid w:val="00F83611"/>
    <w:rsid w:val="00F866CB"/>
    <w:rsid w:val="00FA4661"/>
    <w:rsid w:val="00FB1050"/>
    <w:rsid w:val="00FD1798"/>
    <w:rsid w:val="00FD3800"/>
    <w:rsid w:val="00FD5E93"/>
    <w:rsid w:val="00FD7C50"/>
    <w:rsid w:val="00FE69B2"/>
    <w:rsid w:val="00FF0195"/>
    <w:rsid w:val="00FF2244"/>
    <w:rsid w:val="00FF51AE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EF687-EB08-4FE6-B0C5-F0AD9755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31F1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31F1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paragraph" w:styleId="Footer">
    <w:name w:val="footer"/>
    <w:basedOn w:val="Normal"/>
    <w:link w:val="FooterChar"/>
    <w:rsid w:val="00201F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1FE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01FE5"/>
    <w:rPr>
      <w:rFonts w:ascii="Arial" w:hAnsi="Arial" w:cs="Arial"/>
      <w:i/>
      <w:sz w:val="22"/>
      <w:lang w:eastAsia="en-US"/>
    </w:rPr>
  </w:style>
  <w:style w:type="paragraph" w:styleId="BalloonText">
    <w:name w:val="Balloon Text"/>
    <w:basedOn w:val="Normal"/>
    <w:link w:val="BalloonTextChar"/>
    <w:rsid w:val="0026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BDE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F6E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1DE9-135D-4B3B-A2B9-CFE6D959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Gea Brgles Tomašić</cp:lastModifiedBy>
  <cp:revision>2</cp:revision>
  <cp:lastPrinted>2019-04-03T12:30:00Z</cp:lastPrinted>
  <dcterms:created xsi:type="dcterms:W3CDTF">2021-07-19T12:02:00Z</dcterms:created>
  <dcterms:modified xsi:type="dcterms:W3CDTF">2021-07-19T12:02:00Z</dcterms:modified>
</cp:coreProperties>
</file>