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55" w:rsidRDefault="00055E55" w:rsidP="00055E55">
      <w:pPr>
        <w:spacing w:line="240" w:lineRule="auto"/>
        <w:jc w:val="both"/>
        <w:rPr>
          <w:rFonts w:eastAsia="MS Mincho" w:cs="Arial"/>
          <w:szCs w:val="24"/>
          <w:lang w:eastAsia="hr-HR"/>
        </w:rPr>
      </w:pPr>
      <w:bookmarkStart w:id="0" w:name="_GoBack"/>
      <w:bookmarkEnd w:id="0"/>
    </w:p>
    <w:tbl>
      <w:tblPr>
        <w:tblW w:w="0" w:type="auto"/>
        <w:tblLayout w:type="fixed"/>
        <w:tblLook w:val="04A0" w:firstRow="1" w:lastRow="0" w:firstColumn="1" w:lastColumn="0" w:noHBand="0" w:noVBand="1"/>
      </w:tblPr>
      <w:tblGrid>
        <w:gridCol w:w="5505"/>
      </w:tblGrid>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val="en-US"/>
              </w:rPr>
              <w:drawing>
                <wp:inline distT="0" distB="0" distL="0" distR="0" wp14:anchorId="081C0667" wp14:editId="362E605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szCs w:val="24"/>
                <w:lang w:eastAsia="hr-HR"/>
              </w:rPr>
            </w:pPr>
            <w:r>
              <w:rPr>
                <w:noProof/>
                <w:lang w:val="en-US"/>
              </w:rPr>
              <w:drawing>
                <wp:anchor distT="0" distB="0" distL="114300" distR="114300" simplePos="0" relativeHeight="251659264" behindDoc="0" locked="0" layoutInCell="1" allowOverlap="1" wp14:anchorId="246F41D8" wp14:editId="5B3DCAAB">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055E55" w:rsidTr="00055E55">
        <w:tc>
          <w:tcPr>
            <w:tcW w:w="5505" w:type="dxa"/>
          </w:tcPr>
          <w:p w:rsidR="00055E55" w:rsidRDefault="00055E55">
            <w:pPr>
              <w:tabs>
                <w:tab w:val="center" w:pos="4536"/>
                <w:tab w:val="right" w:pos="9072"/>
              </w:tabs>
              <w:spacing w:line="240" w:lineRule="auto"/>
              <w:jc w:val="center"/>
              <w:rPr>
                <w:rFonts w:eastAsia="Times New Roman" w:cs="Arial"/>
                <w:szCs w:val="24"/>
                <w:lang w:eastAsia="hr-HR"/>
              </w:rPr>
            </w:pP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055E55" w:rsidRDefault="00055E55" w:rsidP="00055E55">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055E55" w:rsidRDefault="00754B97" w:rsidP="00754B97">
            <w:pPr>
              <w:spacing w:line="240" w:lineRule="auto"/>
              <w:jc w:val="both"/>
              <w:rPr>
                <w:rFonts w:eastAsia="Times New Roman" w:cs="Arial"/>
                <w:szCs w:val="24"/>
                <w:lang w:eastAsia="hr-HR"/>
              </w:rPr>
            </w:pPr>
            <w:r>
              <w:rPr>
                <w:rFonts w:eastAsia="MS Mincho" w:cs="Arial"/>
                <w:szCs w:val="24"/>
                <w:lang w:eastAsia="hr-HR"/>
              </w:rPr>
              <w:t>UP/I-361-03/18-10/37</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055E55" w:rsidRDefault="00754B97">
            <w:pPr>
              <w:spacing w:line="240" w:lineRule="auto"/>
              <w:jc w:val="both"/>
              <w:rPr>
                <w:rFonts w:eastAsia="MS Mincho" w:cs="Arial"/>
                <w:szCs w:val="24"/>
                <w:lang w:eastAsia="hr-HR"/>
              </w:rPr>
            </w:pPr>
            <w:r>
              <w:rPr>
                <w:rFonts w:eastAsia="MS Mincho" w:cs="Arial"/>
                <w:szCs w:val="24"/>
                <w:lang w:eastAsia="hr-HR"/>
              </w:rPr>
              <w:t>2170/1-03-01/11</w:t>
            </w:r>
            <w:r w:rsidR="003766AE">
              <w:rPr>
                <w:rFonts w:eastAsia="MS Mincho" w:cs="Arial"/>
                <w:szCs w:val="24"/>
                <w:lang w:eastAsia="hr-HR"/>
              </w:rPr>
              <w:t>-18-3</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055E55" w:rsidRDefault="00754B97" w:rsidP="00754B97">
            <w:pPr>
              <w:spacing w:line="240" w:lineRule="auto"/>
              <w:jc w:val="both"/>
              <w:rPr>
                <w:rFonts w:eastAsia="Times New Roman" w:cs="Arial"/>
                <w:szCs w:val="24"/>
                <w:lang w:eastAsia="hr-HR"/>
              </w:rPr>
            </w:pPr>
            <w:r>
              <w:rPr>
                <w:rFonts w:eastAsia="Times New Roman" w:cs="Arial"/>
                <w:szCs w:val="24"/>
                <w:lang w:eastAsia="hr-HR"/>
              </w:rPr>
              <w:t>24</w:t>
            </w:r>
            <w:r w:rsidR="003766AE">
              <w:rPr>
                <w:rFonts w:eastAsia="Times New Roman" w:cs="Arial"/>
                <w:szCs w:val="24"/>
                <w:lang w:eastAsia="hr-HR"/>
              </w:rPr>
              <w:t xml:space="preserve">. </w:t>
            </w:r>
            <w:r>
              <w:rPr>
                <w:rFonts w:eastAsia="Times New Roman" w:cs="Arial"/>
                <w:szCs w:val="24"/>
                <w:lang w:eastAsia="hr-HR"/>
              </w:rPr>
              <w:t xml:space="preserve">prosinca </w:t>
            </w:r>
            <w:r w:rsidR="003766AE">
              <w:rPr>
                <w:rFonts w:eastAsia="Times New Roman" w:cs="Arial"/>
                <w:szCs w:val="24"/>
                <w:lang w:eastAsia="hr-HR"/>
              </w:rPr>
              <w:t>2018</w:t>
            </w:r>
            <w:r w:rsidR="00055E55">
              <w:rPr>
                <w:rFonts w:eastAsia="Times New Roman" w:cs="Arial"/>
                <w:szCs w:val="24"/>
                <w:lang w:eastAsia="hr-HR"/>
              </w:rPr>
              <w:t>.</w:t>
            </w:r>
          </w:p>
        </w:tc>
      </w:tr>
    </w:tbl>
    <w:p w:rsidR="00055E55" w:rsidRDefault="00055E55" w:rsidP="00055E55">
      <w:pPr>
        <w:spacing w:line="240" w:lineRule="auto"/>
        <w:jc w:val="both"/>
        <w:rPr>
          <w:rFonts w:eastAsia="Times New Roman" w:cs="Arial"/>
          <w:szCs w:val="24"/>
          <w:lang w:eastAsia="hr-HR"/>
        </w:rPr>
      </w:pPr>
    </w:p>
    <w:p w:rsidR="00055E55" w:rsidRDefault="00055E55" w:rsidP="00055E55">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0D407C">
        <w:rPr>
          <w:rFonts w:eastAsia="MS Mincho" w:cs="Arial"/>
          <w:szCs w:val="24"/>
          <w:lang w:eastAsia="hr-HR"/>
        </w:rPr>
        <w:t>. st. 2</w:t>
      </w:r>
      <w:r>
        <w:rPr>
          <w:rFonts w:eastAsia="MS Mincho" w:cs="Arial"/>
          <w:szCs w:val="24"/>
          <w:lang w:eastAsia="hr-HR"/>
        </w:rPr>
        <w:t xml:space="preserve">. i čl. 116. st. 1.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Pr>
          <w:rFonts w:eastAsia="Times New Roman" w:cs="Arial"/>
          <w:szCs w:val="24"/>
          <w:lang w:eastAsia="hr-HR"/>
        </w:rPr>
        <w:t>, po zahtjevu inve</w:t>
      </w:r>
      <w:r w:rsidR="003766AE">
        <w:rPr>
          <w:rFonts w:eastAsia="Times New Roman" w:cs="Arial"/>
          <w:szCs w:val="24"/>
          <w:lang w:eastAsia="hr-HR"/>
        </w:rPr>
        <w:t>stitora društva Plodine d.d., Rijeka, Ružićeva 29</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center"/>
        <w:rPr>
          <w:rFonts w:eastAsia="MS Mincho" w:cs="Arial"/>
          <w:b/>
          <w:bCs/>
          <w:szCs w:val="24"/>
          <w:lang w:eastAsia="hr-HR"/>
        </w:rPr>
      </w:pPr>
    </w:p>
    <w:p w:rsidR="00055E55" w:rsidRDefault="00055E55" w:rsidP="00055E55">
      <w:pPr>
        <w:spacing w:line="240" w:lineRule="auto"/>
        <w:jc w:val="center"/>
        <w:rPr>
          <w:rFonts w:eastAsia="MS Mincho" w:cs="Arial"/>
          <w:b/>
          <w:bCs/>
          <w:szCs w:val="24"/>
          <w:lang w:eastAsia="hr-HR"/>
        </w:rPr>
      </w:pPr>
      <w:r>
        <w:rPr>
          <w:rFonts w:eastAsia="MS Mincho" w:cs="Arial"/>
          <w:b/>
          <w:bCs/>
          <w:szCs w:val="24"/>
          <w:lang w:eastAsia="hr-HR"/>
        </w:rPr>
        <w:t>P O Z I V A</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both"/>
        <w:rPr>
          <w:rFonts w:cs="Arial"/>
          <w:szCs w:val="24"/>
          <w:shd w:val="clear" w:color="auto" w:fill="FFFFFF"/>
        </w:rPr>
      </w:pPr>
    </w:p>
    <w:p w:rsidR="00055E55" w:rsidRDefault="00055E55" w:rsidP="00055E55">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Pr>
          <w:rFonts w:eastAsia="MS Mincho" w:cs="Arial"/>
          <w:szCs w:val="24"/>
          <w:lang w:eastAsia="hr-HR"/>
        </w:rPr>
        <w:t xml:space="preserve"> za građenje </w:t>
      </w:r>
      <w:r w:rsidR="003766AE">
        <w:rPr>
          <w:rFonts w:eastAsia="MS Mincho" w:cs="Arial"/>
          <w:szCs w:val="24"/>
          <w:lang w:eastAsia="hr-HR"/>
        </w:rPr>
        <w:t xml:space="preserve">zgrade gospodarske namjene (poslovna) - logističko distributivni centar u Industrijskoj zoni Kukuljanovo, na k.č. </w:t>
      </w:r>
      <w:r w:rsidR="00754B97">
        <w:rPr>
          <w:rFonts w:eastAsia="MS Mincho" w:cs="Arial"/>
          <w:szCs w:val="24"/>
          <w:lang w:eastAsia="hr-HR"/>
        </w:rPr>
        <w:t>440</w:t>
      </w:r>
      <w:r w:rsidR="003766AE">
        <w:rPr>
          <w:rFonts w:eastAsia="MS Mincho" w:cs="Arial"/>
          <w:szCs w:val="24"/>
          <w:lang w:eastAsia="hr-HR"/>
        </w:rPr>
        <w:t>, k.o. Kukuljanovo</w:t>
      </w:r>
      <w:r>
        <w:rPr>
          <w:rFonts w:eastAsia="MS Mincho" w:cs="Arial"/>
          <w:szCs w:val="24"/>
          <w:lang w:eastAsia="hr-HR"/>
        </w:rPr>
        <w:t xml:space="preserve"> da izvrše uvid u spis radi izjašnjenja.</w:t>
      </w:r>
    </w:p>
    <w:p w:rsidR="00055E55" w:rsidRDefault="00055E55" w:rsidP="00055E55">
      <w:pPr>
        <w:spacing w:line="240" w:lineRule="auto"/>
        <w:ind w:firstLine="708"/>
        <w:jc w:val="both"/>
        <w:rPr>
          <w:rFonts w:eastAsia="MS Mincho" w:cs="Arial"/>
          <w:szCs w:val="20"/>
          <w:lang w:eastAsia="hr-HR"/>
        </w:rPr>
      </w:pPr>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w:t>
      </w:r>
      <w:r w:rsidR="00754B97">
        <w:rPr>
          <w:rFonts w:eastAsia="MS Mincho" w:cs="Arial"/>
          <w:szCs w:val="20"/>
          <w:lang w:eastAsia="hr-HR"/>
        </w:rPr>
        <w:t>iva 10, I kat, soba 115, dana 3</w:t>
      </w:r>
      <w:r w:rsidR="003766AE">
        <w:rPr>
          <w:rFonts w:eastAsia="MS Mincho" w:cs="Arial"/>
          <w:szCs w:val="20"/>
          <w:lang w:eastAsia="hr-HR"/>
        </w:rPr>
        <w:t xml:space="preserve">. </w:t>
      </w:r>
      <w:r w:rsidR="00754B97">
        <w:rPr>
          <w:rFonts w:eastAsia="MS Mincho" w:cs="Arial"/>
          <w:szCs w:val="20"/>
          <w:lang w:eastAsia="hr-HR"/>
        </w:rPr>
        <w:t xml:space="preserve">siječnja </w:t>
      </w:r>
      <w:r w:rsidR="00462167">
        <w:rPr>
          <w:rFonts w:eastAsia="MS Mincho" w:cs="Arial"/>
          <w:szCs w:val="20"/>
          <w:lang w:eastAsia="hr-HR"/>
        </w:rPr>
        <w:t>2018</w:t>
      </w:r>
      <w:r>
        <w:rPr>
          <w:rFonts w:eastAsia="MS Mincho" w:cs="Arial"/>
          <w:szCs w:val="20"/>
          <w:lang w:eastAsia="hr-HR"/>
        </w:rPr>
        <w:t>. godine u vremenu od 8,30 do 11,00 sati.</w:t>
      </w:r>
    </w:p>
    <w:p w:rsidR="00055E55" w:rsidRDefault="00055E55" w:rsidP="00055E55">
      <w:pPr>
        <w:spacing w:line="240" w:lineRule="auto"/>
        <w:ind w:firstLine="708"/>
        <w:jc w:val="both"/>
        <w:rPr>
          <w:rFonts w:cs="Arial"/>
          <w:szCs w:val="24"/>
          <w:shd w:val="clear" w:color="auto" w:fill="FFFFFF"/>
        </w:rPr>
      </w:pPr>
      <w:r>
        <w:rPr>
          <w:rFonts w:cs="Arial"/>
          <w:szCs w:val="24"/>
          <w:shd w:val="clear" w:color="auto" w:fill="FFFFFF"/>
        </w:rPr>
        <w:t xml:space="preserve">Sukladno čl. 116. st. 1. Zakona o gradnji </w:t>
      </w:r>
      <w:r>
        <w:rPr>
          <w:rFonts w:eastAsia="Times New Roman" w:cs="Arial"/>
          <w:szCs w:val="24"/>
          <w:lang w:eastAsia="hr-HR"/>
        </w:rPr>
        <w:t>(„Narodne novine'' br. 153/13, 20/17),</w:t>
      </w:r>
      <w:r>
        <w:rPr>
          <w:rFonts w:cs="Arial"/>
          <w:szCs w:val="24"/>
          <w:shd w:val="clear" w:color="auto" w:fill="FFFFFF"/>
        </w:rPr>
        <w:t xml:space="preserve"> 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055E55" w:rsidRDefault="00055E55" w:rsidP="00055E55">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055E55" w:rsidRDefault="00055E55" w:rsidP="00055E55">
      <w:pPr>
        <w:spacing w:line="240" w:lineRule="auto"/>
        <w:jc w:val="both"/>
        <w:rPr>
          <w:rFonts w:eastAsia="MS Mincho" w:cs="Arial"/>
          <w:szCs w:val="20"/>
          <w:lang w:eastAsia="hr-HR"/>
        </w:rPr>
      </w:pP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DOSTAVITI:</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3. Građevna čestica</w:t>
      </w:r>
    </w:p>
    <w:p w:rsidR="00530FAA" w:rsidRPr="00462167" w:rsidRDefault="00055E55" w:rsidP="00462167">
      <w:pPr>
        <w:spacing w:line="240" w:lineRule="auto"/>
        <w:jc w:val="both"/>
        <w:rPr>
          <w:rFonts w:eastAsia="Times New Roman" w:cs="Arial"/>
          <w:szCs w:val="24"/>
          <w:lang w:eastAsia="hr-HR"/>
        </w:rPr>
      </w:pPr>
      <w:r>
        <w:rPr>
          <w:rFonts w:eastAsia="Times New Roman" w:cs="Arial"/>
          <w:szCs w:val="24"/>
          <w:lang w:eastAsia="hr-HR"/>
        </w:rPr>
        <w:t>4. U spis</w:t>
      </w:r>
    </w:p>
    <w:sectPr w:rsidR="00530FAA" w:rsidRPr="0046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55"/>
    <w:rsid w:val="00055E55"/>
    <w:rsid w:val="000D407C"/>
    <w:rsid w:val="00303110"/>
    <w:rsid w:val="003766AE"/>
    <w:rsid w:val="00462167"/>
    <w:rsid w:val="00530FAA"/>
    <w:rsid w:val="00754B97"/>
    <w:rsid w:val="00D926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3D51-88A2-4BF1-B56F-7F6611CD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Ivanka Grgić</cp:lastModifiedBy>
  <cp:revision>2</cp:revision>
  <cp:lastPrinted>2018-07-03T11:19:00Z</cp:lastPrinted>
  <dcterms:created xsi:type="dcterms:W3CDTF">2018-12-28T09:39:00Z</dcterms:created>
  <dcterms:modified xsi:type="dcterms:W3CDTF">2018-12-28T09:39:00Z</dcterms:modified>
</cp:coreProperties>
</file>